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both"/>
        <w:rPr/>
      </w:pPr>
      <w:r w:rsidDel="00000000" w:rsidR="00000000" w:rsidRPr="00000000">
        <w:rPr>
          <w:rtl w:val="0"/>
        </w:rPr>
        <w:t xml:space="preserve">Caricare i seguenti documenti scansionati come previsti dal Bando:</w:t>
      </w:r>
    </w:p>
    <w:p w:rsidR="00000000" w:rsidDel="00000000" w:rsidP="00000000" w:rsidRDefault="00000000" w:rsidRPr="00000000" w14:paraId="00000002">
      <w:pPr>
        <w:widowControl w:val="0"/>
        <w:numPr>
          <w:ilvl w:val="0"/>
          <w:numId w:val="1"/>
        </w:numPr>
        <w:spacing w:after="0" w:afterAutospacing="0" w:line="259" w:lineRule="auto"/>
        <w:ind w:left="283.46456692913375" w:hanging="283.46456692913375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Preventivi di spesa (almeno 3) comparabili e forniti da soggetti indipendenti ed in concorrenza fra loro, richiesti attraverso mail. </w:t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after="0" w:afterAutospacing="0" w:line="259" w:lineRule="auto"/>
        <w:ind w:left="283.46456692913375" w:hanging="283.46456692913375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Relazione di chiarimento sulla scelta del preventivo, qualora non sia stato scelto il più basso o relazione illustrativa che giustifichi la presentazione di un unico preventivo; </w:t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after="160" w:line="259" w:lineRule="auto"/>
        <w:ind w:left="283.46456692913375" w:hanging="283.46456692913375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Per spese relative ad investimenti materiali o immateriali protetti da privativa industriale è possibile acquisire un unico preventivo. </w:t>
      </w:r>
    </w:p>
    <w:p w:rsidR="00000000" w:rsidDel="00000000" w:rsidP="00000000" w:rsidRDefault="00000000" w:rsidRPr="00000000" w14:paraId="00000005">
      <w:pPr>
        <w:widowControl w:val="0"/>
        <w:spacing w:after="160" w:line="259" w:lineRule="auto"/>
        <w:ind w:hanging="1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